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60" w:rsidRDefault="000A2960" w:rsidP="000A2960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</w:pPr>
      <w:r w:rsidRPr="000A296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s-ES"/>
        </w:rPr>
        <w:drawing>
          <wp:inline distT="0" distB="0" distL="0" distR="0" wp14:anchorId="3CE35FC4" wp14:editId="18E07BB1">
            <wp:extent cx="5400040" cy="7435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2960" w:rsidRPr="00784E75" w:rsidTr="000A2960">
        <w:tc>
          <w:tcPr>
            <w:tcW w:w="8494" w:type="dxa"/>
          </w:tcPr>
          <w:p w:rsidR="000A2960" w:rsidRPr="000A2960" w:rsidRDefault="000A2960" w:rsidP="000A296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es-ES"/>
              </w:rPr>
            </w:pPr>
            <w:r w:rsidRPr="000A296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es-ES"/>
              </w:rPr>
              <w:t xml:space="preserve">Granada </w:t>
            </w:r>
            <w:proofErr w:type="spellStart"/>
            <w:r w:rsidRPr="000A296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es-ES"/>
              </w:rPr>
              <w:t>Conference</w:t>
            </w:r>
            <w:proofErr w:type="spellEnd"/>
            <w:r w:rsidRPr="000A296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es-ES"/>
              </w:rPr>
              <w:t xml:space="preserve"> Centre, Granada, </w:t>
            </w:r>
            <w:proofErr w:type="spellStart"/>
            <w:r w:rsidRPr="000A296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es-ES"/>
              </w:rPr>
              <w:t>Spain</w:t>
            </w:r>
            <w:proofErr w:type="spellEnd"/>
          </w:p>
          <w:p w:rsidR="000A2960" w:rsidRPr="000A2960" w:rsidRDefault="000A2960" w:rsidP="000A29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es-ES"/>
              </w:rPr>
            </w:pPr>
            <w:proofErr w:type="spellStart"/>
            <w:r w:rsidRPr="000A296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es-ES"/>
              </w:rPr>
              <w:t>May</w:t>
            </w:r>
            <w:proofErr w:type="spellEnd"/>
            <w:r w:rsidRPr="000A296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es-ES"/>
              </w:rPr>
              <w:t xml:space="preserve"> 8-10, 2026</w:t>
            </w:r>
          </w:p>
          <w:p w:rsidR="000A2960" w:rsidRDefault="000A2960" w:rsidP="000A296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es-ES"/>
              </w:rPr>
            </w:pPr>
            <w:r w:rsidRPr="000A296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val="en-US" w:eastAsia="es-ES"/>
              </w:rPr>
              <w:t xml:space="preserve">Access all submission details: </w:t>
            </w:r>
            <w:r w:rsidR="00784E75" w:rsidRPr="00784E75">
              <w:rPr>
                <w:rStyle w:val="Hipervnculo"/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val="en-US" w:eastAsia="es-ES"/>
              </w:rPr>
              <w:t>https://sci2s.ugr.es/cai-2026/</w:t>
            </w:r>
          </w:p>
        </w:tc>
      </w:tr>
    </w:tbl>
    <w:p w:rsidR="000A2960" w:rsidRPr="000A2960" w:rsidRDefault="000A2960">
      <w:pPr>
        <w:rPr>
          <w:rFonts w:ascii="Times New Roman" w:eastAsia="Times New Roman" w:hAnsi="Times New Roman" w:cs="Times New Roman"/>
          <w:bCs/>
          <w:sz w:val="27"/>
          <w:szCs w:val="27"/>
          <w:lang w:val="en-US" w:eastAsia="es-ES"/>
        </w:rPr>
      </w:pPr>
      <w:bookmarkStart w:id="0" w:name="_GoBack"/>
      <w:bookmarkEnd w:id="0"/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FF0000"/>
          <w:sz w:val="32"/>
          <w:szCs w:val="32"/>
          <w:lang w:val="en-US"/>
        </w:rPr>
      </w:pPr>
      <w:r w:rsidRPr="000A2960">
        <w:rPr>
          <w:rFonts w:ascii="DejaVuMathTeXGyre-Regular" w:hAnsi="DejaVuMathTeXGyre-Regular" w:cs="DejaVuMathTeXGyre-Regular"/>
          <w:color w:val="FF0000"/>
          <w:sz w:val="32"/>
          <w:szCs w:val="32"/>
          <w:lang w:val="en-US"/>
        </w:rPr>
        <w:t>TUTORIAL PROPOSAL SUBMISSION GUIDELINES</w:t>
      </w:r>
    </w:p>
    <w:p w:rsid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</w:pP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1. T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 xml:space="preserve">UTORIAL 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T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ITLE</w:t>
      </w: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(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 xml:space="preserve">A </w:t>
      </w:r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title that helps the potential attendees to understand what the tutorial will be about)</w:t>
      </w:r>
    </w:p>
    <w:p w:rsid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</w:pP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2. T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 xml:space="preserve">UTORIAL 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A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BSTRACT</w:t>
      </w: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(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A</w:t>
      </w:r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bstract that summarizes the topics, goals, and target audience)</w:t>
      </w:r>
    </w:p>
    <w:p w:rsid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</w:pP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3. T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 xml:space="preserve">UTORIAL 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F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ORMAT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/TIMELINE</w:t>
      </w: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3F3F3F"/>
          <w:lang w:val="en-US"/>
        </w:rPr>
      </w:pPr>
      <w:r w:rsidRPr="000A2960">
        <w:rPr>
          <w:rFonts w:ascii="Segoe UI Symbol" w:hAnsi="Segoe UI Symbol" w:cs="Segoe UI Symbol"/>
          <w:color w:val="3F3F3F"/>
          <w:lang w:val="en-US"/>
        </w:rPr>
        <w:t>☐</w:t>
      </w:r>
      <w:r w:rsidRPr="000A2960">
        <w:rPr>
          <w:rFonts w:ascii="MS-Gothic" w:hAnsi="MS-Gothic" w:cs="MS-Gothic"/>
          <w:color w:val="3F3F3F"/>
          <w:lang w:val="en-US"/>
        </w:rPr>
        <w:t xml:space="preserve"> </w:t>
      </w:r>
      <w:r w:rsidRPr="000A2960">
        <w:rPr>
          <w:rFonts w:ascii="DejaVuMathTeXGyre-Regular" w:hAnsi="DejaVuMathTeXGyre-Regular" w:cs="DejaVuMathTeXGyre-Regular"/>
          <w:color w:val="3F3F3F"/>
          <w:lang w:val="en-US"/>
        </w:rPr>
        <w:t>2 hours</w:t>
      </w: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3F3F3F"/>
          <w:lang w:val="en-US"/>
        </w:rPr>
      </w:pPr>
      <w:r w:rsidRPr="000A2960">
        <w:rPr>
          <w:rFonts w:ascii="Segoe UI Symbol" w:hAnsi="Segoe UI Symbol" w:cs="Segoe UI Symbol"/>
          <w:color w:val="3F3F3F"/>
          <w:lang w:val="en-US"/>
        </w:rPr>
        <w:t>☐</w:t>
      </w:r>
      <w:r w:rsidRPr="000A2960">
        <w:rPr>
          <w:rFonts w:ascii="MS-Gothic" w:hAnsi="MS-Gothic" w:cs="MS-Gothic"/>
          <w:color w:val="3F3F3F"/>
          <w:lang w:val="en-US"/>
        </w:rPr>
        <w:t xml:space="preserve"> </w:t>
      </w:r>
      <w:r w:rsidRPr="000A2960">
        <w:rPr>
          <w:rFonts w:ascii="DejaVuMathTeXGyre-Regular" w:hAnsi="DejaVuMathTeXGyre-Regular" w:cs="DejaVuMathTeXGyre-Regular"/>
          <w:color w:val="3F3F3F"/>
          <w:lang w:val="en-US"/>
        </w:rPr>
        <w:t>4 hours</w:t>
      </w: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3F3F3F"/>
          <w:lang w:val="en-US"/>
        </w:rPr>
      </w:pPr>
      <w:r w:rsidRPr="000A2960">
        <w:rPr>
          <w:rFonts w:ascii="Segoe UI Symbol" w:hAnsi="Segoe UI Symbol" w:cs="Segoe UI Symbol"/>
          <w:color w:val="3F3F3F"/>
          <w:lang w:val="en-US"/>
        </w:rPr>
        <w:t>☐</w:t>
      </w:r>
      <w:r w:rsidRPr="000A2960">
        <w:rPr>
          <w:rFonts w:ascii="MS-Gothic" w:hAnsi="MS-Gothic" w:cs="MS-Gothic"/>
          <w:color w:val="3F3F3F"/>
          <w:lang w:val="en-US"/>
        </w:rPr>
        <w:t xml:space="preserve"> </w:t>
      </w:r>
      <w:r w:rsidRPr="000A2960">
        <w:rPr>
          <w:rFonts w:ascii="DejaVuMathTeXGyre-Regular" w:hAnsi="DejaVuMathTeXGyre-Regular" w:cs="DejaVuMathTeXGyre-Regular"/>
          <w:color w:val="3F3F3F"/>
          <w:lang w:val="en-US"/>
        </w:rPr>
        <w:t>8 hours</w:t>
      </w:r>
    </w:p>
    <w:p w:rsid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lang w:val="en-US"/>
        </w:rPr>
      </w:pP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lang w:val="en-US"/>
        </w:rPr>
        <w:t xml:space="preserve">4. 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T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 xml:space="preserve">ARGET 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A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UDIENCE</w:t>
      </w: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(This section explains for whom the tutorial will be developed and what the expected prior</w:t>
      </w:r>
      <w:r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 xml:space="preserve"> </w:t>
      </w:r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knowledge is. Clearly specify what attendees should know and be able to practically do to</w:t>
      </w:r>
      <w:r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 xml:space="preserve"> </w:t>
      </w:r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get the most out of your tutorial. Examples of what to specify include prior mathematical</w:t>
      </w:r>
      <w:r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 xml:space="preserve"> </w:t>
      </w:r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knowledge, knowledge of specific models and methods, programming skills, or adjacent</w:t>
      </w:r>
      <w:r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 xml:space="preserve"> </w:t>
      </w:r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areas like security. Also, specify the number of expected participants).</w:t>
      </w:r>
    </w:p>
    <w:p w:rsid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lang w:val="en-US"/>
        </w:rPr>
      </w:pP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lang w:val="en-US"/>
        </w:rPr>
        <w:t xml:space="preserve">5. 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P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RESENTER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(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S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)</w:t>
      </w: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(</w:t>
      </w:r>
      <w:proofErr w:type="gramStart"/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including</w:t>
      </w:r>
      <w:proofErr w:type="gramEnd"/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 xml:space="preserve"> names, affiliations, contact information, and links to personal website)</w:t>
      </w:r>
    </w:p>
    <w:p w:rsid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</w:pP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ind w:left="708"/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5.1 A short CV or bio-sketch for each tutorial proposer, including:</w:t>
      </w:r>
    </w:p>
    <w:p w:rsidR="000A2960" w:rsidRPr="000A2960" w:rsidRDefault="000A2960" w:rsidP="000A29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Links to their Google Scholar, SCOPUS, ORCID, and, if available, Web of Science</w:t>
      </w:r>
      <w:r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 xml:space="preserve"> </w:t>
      </w:r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profiles.</w:t>
      </w:r>
    </w:p>
    <w:p w:rsid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</w:pP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6. P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 xml:space="preserve">REVIOUS 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T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 xml:space="preserve">UTORIALS GIVEN BY THE 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P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RESENTER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(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S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)</w:t>
      </w: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(</w:t>
      </w:r>
      <w:proofErr w:type="gramStart"/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>if</w:t>
      </w:r>
      <w:proofErr w:type="gramEnd"/>
      <w:r w:rsidRPr="000A2960">
        <w:rPr>
          <w:rFonts w:ascii="DejaVuMathTeXGyre-Regular" w:hAnsi="DejaVuMathTeXGyre-Regular" w:cs="DejaVuMathTeXGyre-Regular"/>
          <w:color w:val="2E7786"/>
          <w:sz w:val="20"/>
          <w:szCs w:val="20"/>
          <w:lang w:val="en-US"/>
        </w:rPr>
        <w:t xml:space="preserve"> similar events have been organized in the past, please motivate the novelty)</w:t>
      </w:r>
    </w:p>
    <w:p w:rsid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</w:pP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7. S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IGNIFICANCE OF THE TOPIC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, T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IMELINESS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, N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OVELTY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, R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 xml:space="preserve">ELEVANCE TO THE 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AI</w:t>
      </w: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R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ESEARCH COMMUNITY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 xml:space="preserve">, 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ANY PREVIOUS EDITIONS OF THIS TUTORIAL</w:t>
      </w:r>
    </w:p>
    <w:p w:rsid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</w:pP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8. O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 xml:space="preserve">UTLINE AND 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D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 xml:space="preserve">ESCRIPTION OF THE 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T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UTORIAL</w:t>
      </w:r>
    </w:p>
    <w:p w:rsid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</w:pPr>
    </w:p>
    <w:p w:rsidR="000A2960" w:rsidRP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</w:pP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9. R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 xml:space="preserve">EADING </w:t>
      </w:r>
      <w:r w:rsidRPr="000A2960">
        <w:rPr>
          <w:rFonts w:ascii="DejaVuMathTeXGyre-Regular" w:hAnsi="DejaVuMathTeXGyre-Regular" w:cs="DejaVuMathTeXGyre-Regular"/>
          <w:color w:val="2E7786"/>
          <w:sz w:val="24"/>
          <w:szCs w:val="24"/>
          <w:lang w:val="en-US"/>
        </w:rPr>
        <w:t>L</w:t>
      </w:r>
      <w:r w:rsidRPr="000A2960">
        <w:rPr>
          <w:rFonts w:ascii="DejaVuMathTeXGyre-Regular" w:hAnsi="DejaVuMathTeXGyre-Regular" w:cs="DejaVuMathTeXGyre-Regular"/>
          <w:color w:val="2E7786"/>
          <w:sz w:val="19"/>
          <w:szCs w:val="19"/>
          <w:lang w:val="en-US"/>
        </w:rPr>
        <w:t>IST</w:t>
      </w:r>
    </w:p>
    <w:p w:rsidR="000A2960" w:rsidRDefault="000A2960" w:rsidP="000A2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</w:pPr>
      <w:r w:rsidRPr="000A2960">
        <w:rPr>
          <w:rFonts w:ascii="DejaVuMathTeXGyre-Regular" w:hAnsi="DejaVuMathTeXGyre-Regular" w:cs="DejaVuMathTeXGyre-Regular"/>
          <w:color w:val="585858"/>
          <w:lang w:val="en-US"/>
        </w:rPr>
        <w:t>(</w:t>
      </w:r>
      <w:r w:rsidRPr="000A2960">
        <w:rPr>
          <w:rFonts w:ascii="DejaVuMathTeXGyre-Regular" w:hAnsi="DejaVuMathTeXGyre-Regular" w:cs="DejaVuMathTeXGyre-Regular"/>
          <w:color w:val="2E7786"/>
          <w:lang w:val="en-US"/>
        </w:rPr>
        <w:t>What introductory papers or books can potentia</w:t>
      </w:r>
      <w:r>
        <w:rPr>
          <w:rFonts w:ascii="DejaVuMathTeXGyre-Regular" w:hAnsi="DejaVuMathTeXGyre-Regular" w:cs="DejaVuMathTeXGyre-Regular"/>
          <w:color w:val="2E7786"/>
          <w:lang w:val="en-US"/>
        </w:rPr>
        <w:t xml:space="preserve">l attendees read to get a first </w:t>
      </w:r>
      <w:r w:rsidRPr="000A2960">
        <w:rPr>
          <w:rFonts w:ascii="DejaVuMathTeXGyre-Regular" w:hAnsi="DejaVuMathTeXGyre-Regular" w:cs="DejaVuMathTeXGyre-Regular"/>
          <w:color w:val="2E7786"/>
          <w:lang w:val="en-US"/>
        </w:rPr>
        <w:t xml:space="preserve">impression of the tutorial content? What </w:t>
      </w:r>
      <w:r>
        <w:rPr>
          <w:rFonts w:ascii="DejaVuMathTeXGyre-Regular" w:hAnsi="DejaVuMathTeXGyre-Regular" w:cs="DejaVuMathTeXGyre-Regular"/>
          <w:color w:val="2E7786"/>
          <w:lang w:val="en-US"/>
        </w:rPr>
        <w:t xml:space="preserve">do you expect them to have read </w:t>
      </w:r>
      <w:r w:rsidRPr="000A2960">
        <w:rPr>
          <w:rFonts w:ascii="DejaVuMathTeXGyre-Regular" w:hAnsi="DejaVuMathTeXGyre-Regular" w:cs="DejaVuMathTeXGyre-Regular"/>
          <w:color w:val="2E7786"/>
          <w:lang w:val="en-US"/>
        </w:rPr>
        <w:t>before attending? What does provide further information beyond the content of</w:t>
      </w:r>
      <w:r>
        <w:rPr>
          <w:rFonts w:ascii="DejaVuMathTeXGyre-Regular" w:hAnsi="DejaVuMathTeXGyre-Regular" w:cs="DejaVuMathTeXGyre-Regular"/>
          <w:color w:val="2E7786"/>
          <w:lang w:val="en-US"/>
        </w:rPr>
        <w:t xml:space="preserve"> </w:t>
      </w:r>
      <w:r w:rsidRPr="000A2960">
        <w:rPr>
          <w:rFonts w:ascii="DejaVuMathTeXGyre-Regular" w:hAnsi="DejaVuMathTeXGyre-Regular" w:cs="DejaVuMathTeXGyre-Regular"/>
          <w:color w:val="2E7786"/>
          <w:lang w:val="en-US"/>
        </w:rPr>
        <w:t>the tutorial?)</w:t>
      </w:r>
    </w:p>
    <w:p w:rsidR="000A2960" w:rsidRPr="000A2960" w:rsidRDefault="000A2960">
      <w:pPr>
        <w:rPr>
          <w:lang w:val="en-US"/>
        </w:rPr>
      </w:pPr>
    </w:p>
    <w:sectPr w:rsidR="000A2960" w:rsidRPr="000A2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MathTeXGyr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79E"/>
    <w:multiLevelType w:val="hybridMultilevel"/>
    <w:tmpl w:val="EFBA55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D1"/>
    <w:rsid w:val="000A2960"/>
    <w:rsid w:val="0012772F"/>
    <w:rsid w:val="006005D1"/>
    <w:rsid w:val="0078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5FBB9-D0DF-46DA-84D8-36413619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A2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A296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A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A29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296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Cordón García</dc:creator>
  <cp:keywords/>
  <dc:description/>
  <cp:lastModifiedBy>Oscar Cordón García</cp:lastModifiedBy>
  <cp:revision>3</cp:revision>
  <dcterms:created xsi:type="dcterms:W3CDTF">2025-09-14T15:18:00Z</dcterms:created>
  <dcterms:modified xsi:type="dcterms:W3CDTF">2025-09-17T16:28:00Z</dcterms:modified>
</cp:coreProperties>
</file>